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7551" w14:textId="1EC0C832" w:rsidR="006E451B" w:rsidRPr="00080F61" w:rsidRDefault="00C23973" w:rsidP="00080F61">
      <w:pPr>
        <w:pStyle w:val="Heading1"/>
        <w:spacing w:before="0"/>
        <w:contextualSpacing/>
        <w:rPr>
          <w:rFonts w:ascii="Helvetica" w:eastAsia="Times New Roman" w:hAnsi="Helvetica"/>
          <w:bCs w:val="0"/>
          <w:color w:val="000000"/>
          <w:spacing w:val="-12"/>
          <w:sz w:val="36"/>
          <w:szCs w:val="36"/>
        </w:rPr>
      </w:pPr>
      <w:r>
        <w:rPr>
          <w:rFonts w:ascii="Helvetica" w:eastAsia="Times New Roman" w:hAnsi="Helvetica"/>
          <w:bCs w:val="0"/>
          <w:color w:val="000000"/>
          <w:spacing w:val="-12"/>
          <w:sz w:val="36"/>
          <w:szCs w:val="36"/>
        </w:rPr>
        <w:t xml:space="preserve">Q &amp; A: </w:t>
      </w:r>
      <w:r w:rsidR="00F11E1F" w:rsidRPr="00080F61">
        <w:rPr>
          <w:rFonts w:ascii="Helvetica" w:eastAsia="Times New Roman" w:hAnsi="Helvetica"/>
          <w:bCs w:val="0"/>
          <w:color w:val="000000"/>
          <w:spacing w:val="-12"/>
          <w:sz w:val="36"/>
          <w:szCs w:val="36"/>
        </w:rPr>
        <w:t>Churches and</w:t>
      </w:r>
      <w:r>
        <w:rPr>
          <w:rFonts w:ascii="Helvetica" w:eastAsia="Times New Roman" w:hAnsi="Helvetica"/>
          <w:bCs w:val="0"/>
          <w:color w:val="000000"/>
          <w:spacing w:val="-12"/>
          <w:sz w:val="36"/>
          <w:szCs w:val="36"/>
        </w:rPr>
        <w:t xml:space="preserve"> the</w:t>
      </w:r>
      <w:r w:rsidR="00F11E1F" w:rsidRPr="00080F61">
        <w:rPr>
          <w:rFonts w:ascii="Helvetica" w:eastAsia="Times New Roman" w:hAnsi="Helvetica"/>
          <w:bCs w:val="0"/>
          <w:color w:val="000000"/>
          <w:spacing w:val="-12"/>
          <w:sz w:val="36"/>
          <w:szCs w:val="36"/>
        </w:rPr>
        <w:t xml:space="preserve"> CARES Act 2020</w:t>
      </w:r>
    </w:p>
    <w:p w14:paraId="742C9291" w14:textId="3C7864F6" w:rsidR="006E451B" w:rsidRPr="0040343C" w:rsidRDefault="0040343C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color w:val="000000"/>
          <w:sz w:val="28"/>
          <w:szCs w:val="28"/>
        </w:rPr>
      </w:pPr>
      <w:r w:rsidRPr="0040343C">
        <w:rPr>
          <w:rFonts w:ascii="Helvetica" w:hAnsi="Helvetica"/>
          <w:color w:val="000000"/>
          <w:sz w:val="28"/>
          <w:szCs w:val="28"/>
        </w:rPr>
        <w:t>March 30, 2020</w:t>
      </w:r>
    </w:p>
    <w:p w14:paraId="643AD5D7" w14:textId="147DF850" w:rsidR="00F11E1F" w:rsidRPr="0040343C" w:rsidRDefault="00F11E1F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i/>
          <w:color w:val="000000"/>
          <w:sz w:val="24"/>
          <w:szCs w:val="24"/>
        </w:rPr>
      </w:pPr>
      <w:proofErr w:type="spellStart"/>
      <w:r w:rsidRPr="00080F61">
        <w:rPr>
          <w:rFonts w:ascii="Helvetica" w:hAnsi="Helvetica"/>
          <w:color w:val="000000"/>
          <w:sz w:val="24"/>
          <w:szCs w:val="24"/>
        </w:rPr>
        <w:t>Auxano</w:t>
      </w:r>
      <w:proofErr w:type="spellEnd"/>
      <w:r w:rsidRPr="00080F61">
        <w:rPr>
          <w:rFonts w:ascii="Helvetica" w:hAnsi="Helvetica"/>
          <w:color w:val="000000"/>
          <w:sz w:val="24"/>
          <w:szCs w:val="24"/>
        </w:rPr>
        <w:t xml:space="preserve"> Resourcing</w:t>
      </w:r>
      <w:r w:rsidR="0040343C">
        <w:rPr>
          <w:rFonts w:ascii="Helvetica" w:hAnsi="Helvetica"/>
          <w:color w:val="000000"/>
          <w:sz w:val="24"/>
          <w:szCs w:val="24"/>
        </w:rPr>
        <w:t xml:space="preserve"> – </w:t>
      </w:r>
      <w:r w:rsidR="0040343C" w:rsidRPr="0040343C">
        <w:rPr>
          <w:rFonts w:ascii="Helvetica" w:hAnsi="Helvetica"/>
          <w:i/>
          <w:color w:val="000000"/>
          <w:sz w:val="24"/>
          <w:szCs w:val="24"/>
        </w:rPr>
        <w:t xml:space="preserve">Greg Gibbs, Mike </w:t>
      </w:r>
      <w:proofErr w:type="spellStart"/>
      <w:r w:rsidR="0040343C" w:rsidRPr="0040343C">
        <w:rPr>
          <w:rFonts w:ascii="Helvetica" w:hAnsi="Helvetica"/>
          <w:i/>
          <w:color w:val="000000"/>
          <w:sz w:val="24"/>
          <w:szCs w:val="24"/>
        </w:rPr>
        <w:t>Gammill</w:t>
      </w:r>
      <w:proofErr w:type="spellEnd"/>
      <w:r w:rsidR="0040343C" w:rsidRPr="0040343C">
        <w:rPr>
          <w:rFonts w:ascii="Helvetica" w:hAnsi="Helvetica"/>
          <w:i/>
          <w:color w:val="000000"/>
          <w:sz w:val="24"/>
          <w:szCs w:val="24"/>
        </w:rPr>
        <w:t xml:space="preserve">, Clint </w:t>
      </w:r>
      <w:proofErr w:type="spellStart"/>
      <w:r w:rsidR="0040343C" w:rsidRPr="0040343C">
        <w:rPr>
          <w:rFonts w:ascii="Helvetica" w:hAnsi="Helvetica"/>
          <w:i/>
          <w:color w:val="000000"/>
          <w:sz w:val="24"/>
          <w:szCs w:val="24"/>
        </w:rPr>
        <w:t>Grider</w:t>
      </w:r>
      <w:proofErr w:type="spellEnd"/>
      <w:r w:rsidR="0040343C" w:rsidRPr="0040343C">
        <w:rPr>
          <w:rFonts w:ascii="Helvetica" w:hAnsi="Helvetica"/>
          <w:i/>
          <w:color w:val="000000"/>
          <w:sz w:val="24"/>
          <w:szCs w:val="24"/>
        </w:rPr>
        <w:t>, David Putman, Kent Vincent</w:t>
      </w:r>
      <w:r w:rsidRPr="0040343C">
        <w:rPr>
          <w:rFonts w:ascii="Helvetica" w:hAnsi="Helvetica"/>
          <w:i/>
          <w:color w:val="000000"/>
          <w:sz w:val="24"/>
          <w:szCs w:val="24"/>
        </w:rPr>
        <w:t xml:space="preserve"> </w:t>
      </w:r>
    </w:p>
    <w:p w14:paraId="4692817C" w14:textId="77777777" w:rsidR="00080F61" w:rsidRDefault="00080F61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color w:val="000000"/>
          <w:sz w:val="24"/>
          <w:szCs w:val="24"/>
        </w:rPr>
      </w:pPr>
    </w:p>
    <w:p w14:paraId="3ABE77D0" w14:textId="77777777" w:rsidR="00C23973" w:rsidRDefault="00C23973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The economic relief program known as CARES (Coronavirus Aid, Relief, and Economic Security) may be an opportunity for financial relief from the federal government that would benefit churches. </w:t>
      </w:r>
    </w:p>
    <w:p w14:paraId="06BA9E10" w14:textId="77777777" w:rsidR="00C23973" w:rsidRDefault="00C23973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color w:val="000000"/>
          <w:sz w:val="24"/>
          <w:szCs w:val="24"/>
        </w:rPr>
      </w:pPr>
    </w:p>
    <w:p w14:paraId="2839379D" w14:textId="40C31720" w:rsidR="00C23973" w:rsidRDefault="00C23973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The law is articulated in hundreds of pages, but the basics are outlined in the following Q &amp; A document to give a top-level understanding to many who are asking.  </w:t>
      </w:r>
      <w:r w:rsidR="0040343C">
        <w:rPr>
          <w:rFonts w:ascii="Helvetica" w:hAnsi="Helvetica"/>
          <w:color w:val="000000"/>
          <w:sz w:val="24"/>
          <w:szCs w:val="24"/>
        </w:rPr>
        <w:t xml:space="preserve">We are recommending you get up to speed as quickly as possible, and then take advantage of this as soon as you are able. </w:t>
      </w:r>
    </w:p>
    <w:p w14:paraId="369FEF68" w14:textId="77777777" w:rsidR="00C23973" w:rsidRDefault="00C23973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color w:val="000000"/>
          <w:sz w:val="24"/>
          <w:szCs w:val="24"/>
        </w:rPr>
      </w:pPr>
    </w:p>
    <w:p w14:paraId="7D7E4F41" w14:textId="78400479" w:rsidR="00080F61" w:rsidRPr="00C23973" w:rsidRDefault="00080F61" w:rsidP="00080F61">
      <w:pPr>
        <w:pStyle w:val="l-standard-margin-top"/>
        <w:spacing w:before="0" w:beforeAutospacing="0" w:after="0" w:afterAutospacing="0"/>
        <w:contextualSpacing/>
        <w:rPr>
          <w:rFonts w:ascii="Helvetica" w:hAnsi="Helvetica"/>
          <w:i/>
          <w:color w:val="000000"/>
          <w:sz w:val="24"/>
          <w:szCs w:val="24"/>
        </w:rPr>
      </w:pPr>
      <w:r w:rsidRPr="00C23973">
        <w:rPr>
          <w:rFonts w:ascii="Helvetica" w:hAnsi="Helvetica"/>
          <w:b/>
          <w:i/>
          <w:color w:val="000000"/>
          <w:sz w:val="24"/>
          <w:szCs w:val="24"/>
        </w:rPr>
        <w:t>NOTE:</w:t>
      </w:r>
      <w:r w:rsidR="00C23973" w:rsidRPr="00C23973">
        <w:rPr>
          <w:rFonts w:ascii="Helvetica" w:hAnsi="Helvetica"/>
          <w:i/>
          <w:color w:val="000000"/>
          <w:sz w:val="24"/>
          <w:szCs w:val="24"/>
        </w:rPr>
        <w:t xml:space="preserve"> </w:t>
      </w:r>
      <w:proofErr w:type="spellStart"/>
      <w:r w:rsidRPr="00C23973">
        <w:rPr>
          <w:rFonts w:ascii="Helvetica" w:hAnsi="Helvetica"/>
          <w:i/>
          <w:color w:val="000000"/>
          <w:sz w:val="24"/>
          <w:szCs w:val="24"/>
        </w:rPr>
        <w:t>Auxano</w:t>
      </w:r>
      <w:proofErr w:type="spellEnd"/>
      <w:r w:rsidRPr="00C23973">
        <w:rPr>
          <w:rFonts w:ascii="Helvetica" w:hAnsi="Helvetica"/>
          <w:i/>
          <w:color w:val="000000"/>
          <w:sz w:val="24"/>
          <w:szCs w:val="24"/>
        </w:rPr>
        <w:t xml:space="preserve"> is not </w:t>
      </w:r>
      <w:r w:rsidR="00C23973" w:rsidRPr="00C23973">
        <w:rPr>
          <w:rFonts w:ascii="Helvetica" w:hAnsi="Helvetica"/>
          <w:i/>
          <w:color w:val="000000"/>
          <w:sz w:val="24"/>
          <w:szCs w:val="24"/>
        </w:rPr>
        <w:t xml:space="preserve">legal counsel </w:t>
      </w:r>
      <w:proofErr w:type="gramStart"/>
      <w:r w:rsidR="00C23973" w:rsidRPr="00C23973">
        <w:rPr>
          <w:rFonts w:ascii="Helvetica" w:hAnsi="Helvetica"/>
          <w:i/>
          <w:color w:val="000000"/>
          <w:sz w:val="24"/>
          <w:szCs w:val="24"/>
        </w:rPr>
        <w:t>nor</w:t>
      </w:r>
      <w:proofErr w:type="gramEnd"/>
      <w:r w:rsidR="00C23973" w:rsidRPr="00C23973">
        <w:rPr>
          <w:rFonts w:ascii="Helvetica" w:hAnsi="Helvetica"/>
          <w:i/>
          <w:color w:val="000000"/>
          <w:sz w:val="24"/>
          <w:szCs w:val="24"/>
        </w:rPr>
        <w:t xml:space="preserve"> making any recommendations beyond urging churches to learn more about and pursue the possibility of relief offered by the federal government through lending institutions.</w:t>
      </w:r>
    </w:p>
    <w:p w14:paraId="6CFFC57A" w14:textId="77777777" w:rsidR="006E451B" w:rsidRPr="00080F61" w:rsidRDefault="006E451B" w:rsidP="00080F61">
      <w:pPr>
        <w:contextualSpacing/>
        <w:rPr>
          <w:rFonts w:ascii="Helvetica" w:hAnsi="Helvetica" w:cs="Times New Roman"/>
          <w:i/>
          <w:iCs/>
          <w:color w:val="000000"/>
        </w:rPr>
      </w:pPr>
    </w:p>
    <w:p w14:paraId="3A993C48" w14:textId="23AA6309" w:rsidR="00F11E1F" w:rsidRPr="00080F61" w:rsidRDefault="00F11E1F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>What is this economic relief act doing that may impact churches?</w:t>
      </w:r>
    </w:p>
    <w:p w14:paraId="6AA955BB" w14:textId="3FE6D060" w:rsidR="006E451B" w:rsidRPr="00080F61" w:rsidRDefault="0062049A" w:rsidP="00080F61">
      <w:pPr>
        <w:spacing w:after="225"/>
        <w:contextualSpacing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>Between now and the end of June</w:t>
      </w:r>
      <w:r w:rsidR="00F11E1F" w:rsidRPr="00080F61">
        <w:rPr>
          <w:rFonts w:ascii="Helvetica" w:hAnsi="Helvetica" w:cs="Times New Roman"/>
          <w:color w:val="000000"/>
        </w:rPr>
        <w:t xml:space="preserve">, </w:t>
      </w:r>
      <w:r w:rsidR="006E451B" w:rsidRPr="00080F61">
        <w:rPr>
          <w:rFonts w:ascii="Helvetica" w:hAnsi="Helvetica" w:cs="Times New Roman"/>
          <w:color w:val="000000"/>
        </w:rPr>
        <w:t xml:space="preserve">100% federally-backed loans </w:t>
      </w:r>
      <w:r w:rsidR="00F11E1F" w:rsidRPr="00080F61">
        <w:rPr>
          <w:rFonts w:ascii="Helvetica" w:hAnsi="Helvetica" w:cs="Times New Roman"/>
          <w:color w:val="000000"/>
        </w:rPr>
        <w:t>become available</w:t>
      </w:r>
      <w:r w:rsidR="006E451B" w:rsidRPr="00080F61">
        <w:rPr>
          <w:rFonts w:ascii="Helvetica" w:hAnsi="Helvetica" w:cs="Times New Roman"/>
          <w:color w:val="000000"/>
        </w:rPr>
        <w:t xml:space="preserve"> to help pay operational costs like payroll, rent, health benefits, insurance premiums, utilities, etc. </w:t>
      </w:r>
      <w:r w:rsidR="00F11E1F" w:rsidRPr="00080F61">
        <w:rPr>
          <w:rFonts w:ascii="Helvetica" w:hAnsi="Helvetica" w:cs="Times New Roman"/>
          <w:color w:val="000000"/>
        </w:rPr>
        <w:t xml:space="preserve"> </w:t>
      </w:r>
      <w:r w:rsidR="00F11E1F" w:rsidRPr="005840CF">
        <w:rPr>
          <w:rFonts w:ascii="Helvetica" w:hAnsi="Helvetica" w:cs="Times New Roman"/>
          <w:color w:val="000000"/>
          <w:highlight w:val="lightGray"/>
        </w:rPr>
        <w:t xml:space="preserve">Though conditions apply, </w:t>
      </w:r>
      <w:r w:rsidRPr="005840CF">
        <w:rPr>
          <w:rFonts w:ascii="Helvetica" w:hAnsi="Helvetica" w:cs="Times New Roman"/>
          <w:color w:val="000000"/>
          <w:highlight w:val="lightGray"/>
        </w:rPr>
        <w:t>these loans are forgivable.</w:t>
      </w:r>
      <w:r w:rsidRPr="00080F61">
        <w:rPr>
          <w:rFonts w:ascii="Helvetica" w:hAnsi="Helvetica" w:cs="Times New Roman"/>
          <w:color w:val="000000"/>
        </w:rPr>
        <w:t xml:space="preserve"> And because it includes non-profits, churches are likely eligible. </w:t>
      </w:r>
    </w:p>
    <w:p w14:paraId="4AF898B5" w14:textId="77777777" w:rsidR="00C23973" w:rsidRDefault="00C23973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75476351" w14:textId="77777777" w:rsidR="00AC0531" w:rsidRDefault="00AC0531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4D6F5F08" w14:textId="73E5A625" w:rsidR="00F11E1F" w:rsidRPr="00080F61" w:rsidRDefault="00F11E1F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 xml:space="preserve">What banks and lenders can offer these loans?  </w:t>
      </w:r>
    </w:p>
    <w:p w14:paraId="4B4F57C4" w14:textId="0415A534" w:rsidR="00F11E1F" w:rsidRPr="00080F61" w:rsidRDefault="00F11E1F" w:rsidP="00080F61">
      <w:pPr>
        <w:spacing w:after="225"/>
        <w:contextualSpacing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 xml:space="preserve">The Department of Treasury will allow lenders currently authorized to make loans (under the Small Business Administration’s current loan program) and may choose to give similar authority to other lenders. </w:t>
      </w:r>
    </w:p>
    <w:p w14:paraId="06127F44" w14:textId="77777777" w:rsidR="005840CF" w:rsidRDefault="005840CF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4EBA074C" w14:textId="77777777" w:rsidR="00AC0531" w:rsidRDefault="00AC0531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2B12D244" w14:textId="4590DD13" w:rsidR="00F11E1F" w:rsidRPr="00080F61" w:rsidRDefault="00F11E1F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>Are Churches eligible for these loans?</w:t>
      </w:r>
    </w:p>
    <w:p w14:paraId="3B67FD47" w14:textId="539724EE" w:rsidR="006E451B" w:rsidRDefault="006E451B" w:rsidP="00080F61">
      <w:pPr>
        <w:spacing w:after="225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 xml:space="preserve">In addition to “small business concerns” as currently defined under the SBA, eligible businesses for the new program include any business concern, </w:t>
      </w:r>
      <w:r w:rsidRPr="00080F61">
        <w:rPr>
          <w:rFonts w:ascii="Helvetica" w:hAnsi="Helvetica" w:cs="Times New Roman"/>
          <w:b/>
          <w:color w:val="000000"/>
        </w:rPr>
        <w:t>nonprofit organization</w:t>
      </w:r>
      <w:r w:rsidRPr="00080F61">
        <w:rPr>
          <w:rFonts w:ascii="Helvetica" w:hAnsi="Helvetica" w:cs="Times New Roman"/>
          <w:color w:val="000000"/>
        </w:rPr>
        <w:t xml:space="preserve">, veterans’ organization, or Tribal business if it employs not more than </w:t>
      </w:r>
      <w:r w:rsidRPr="00080F61">
        <w:rPr>
          <w:rFonts w:ascii="Helvetica" w:eastAsia="Times New Roman" w:hAnsi="Helvetica" w:cs="Times New Roman"/>
          <w:color w:val="000000"/>
        </w:rPr>
        <w:t>500 employees (includes full-time, part-time, and those</w:t>
      </w:r>
      <w:r w:rsidR="0062049A" w:rsidRPr="00080F61">
        <w:rPr>
          <w:rFonts w:ascii="Helvetica" w:eastAsia="Times New Roman" w:hAnsi="Helvetica" w:cs="Times New Roman"/>
          <w:color w:val="000000"/>
        </w:rPr>
        <w:t xml:space="preserve"> employed on other bases).</w:t>
      </w:r>
    </w:p>
    <w:p w14:paraId="3E07303F" w14:textId="77777777" w:rsidR="00C23973" w:rsidRPr="00080F61" w:rsidRDefault="00C23973" w:rsidP="00080F61">
      <w:pPr>
        <w:spacing w:after="225"/>
        <w:contextualSpacing/>
        <w:rPr>
          <w:rFonts w:ascii="Helvetica" w:eastAsia="Times New Roman" w:hAnsi="Helvetica" w:cs="Times New Roman"/>
          <w:color w:val="000000"/>
        </w:rPr>
      </w:pPr>
    </w:p>
    <w:p w14:paraId="51B6C59A" w14:textId="77777777" w:rsidR="00AC0531" w:rsidRDefault="00AC0531" w:rsidP="00080F61">
      <w:pPr>
        <w:contextualSpacing/>
        <w:rPr>
          <w:rFonts w:ascii="Helvetica" w:eastAsia="Times New Roman" w:hAnsi="Helvetica" w:cs="Times New Roman"/>
          <w:b/>
          <w:color w:val="000000"/>
        </w:rPr>
      </w:pPr>
    </w:p>
    <w:p w14:paraId="002B8DB3" w14:textId="5F2CFFBC" w:rsidR="0062049A" w:rsidRPr="00080F61" w:rsidRDefault="0062049A" w:rsidP="00080F61">
      <w:pPr>
        <w:contextualSpacing/>
        <w:rPr>
          <w:rFonts w:ascii="Helvetica" w:eastAsia="Times New Roman" w:hAnsi="Helvetica" w:cs="Times New Roman"/>
          <w:b/>
          <w:color w:val="000000"/>
        </w:rPr>
      </w:pPr>
      <w:bookmarkStart w:id="0" w:name="_GoBack"/>
      <w:bookmarkEnd w:id="0"/>
      <w:r w:rsidRPr="00080F61">
        <w:rPr>
          <w:rFonts w:ascii="Helvetica" w:eastAsia="Times New Roman" w:hAnsi="Helvetica" w:cs="Times New Roman"/>
          <w:b/>
          <w:color w:val="000000"/>
        </w:rPr>
        <w:t>How much money can an organization borrow?</w:t>
      </w:r>
    </w:p>
    <w:p w14:paraId="538A600D" w14:textId="30940E4B" w:rsidR="0062049A" w:rsidRPr="00080F61" w:rsidRDefault="0062049A" w:rsidP="00080F61">
      <w:pPr>
        <w:spacing w:after="225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 xml:space="preserve">The maximum loan amount is capped at $10 million but that will not apply to most churches because the calculation for the loan amount is </w:t>
      </w:r>
      <w:r w:rsidR="006E451B" w:rsidRPr="00080F61">
        <w:rPr>
          <w:rFonts w:ascii="Helvetica" w:eastAsia="Times New Roman" w:hAnsi="Helvetica" w:cs="Times New Roman"/>
          <w:color w:val="000000"/>
          <w:u w:val="single"/>
        </w:rPr>
        <w:t>2.5 times average total monthly payroll costs incurred in the one-year period before the loan is made</w:t>
      </w:r>
      <w:r w:rsidRPr="00080F61">
        <w:rPr>
          <w:rFonts w:ascii="Helvetica" w:eastAsia="Times New Roman" w:hAnsi="Helvetica" w:cs="Times New Roman"/>
          <w:color w:val="000000"/>
          <w:u w:val="single"/>
        </w:rPr>
        <w:t>.</w:t>
      </w:r>
      <w:r w:rsidR="006E451B" w:rsidRPr="00080F61">
        <w:rPr>
          <w:rFonts w:ascii="Helvetica" w:eastAsia="Times New Roman" w:hAnsi="Helvetica" w:cs="Times New Roman"/>
          <w:color w:val="000000"/>
        </w:rPr>
        <w:t xml:space="preserve"> </w:t>
      </w:r>
    </w:p>
    <w:p w14:paraId="34D2A838" w14:textId="77777777" w:rsidR="00C23973" w:rsidRDefault="00C23973" w:rsidP="00080F61">
      <w:pPr>
        <w:spacing w:after="225"/>
        <w:contextualSpacing/>
        <w:rPr>
          <w:rFonts w:ascii="Helvetica" w:eastAsia="Times New Roman" w:hAnsi="Helvetica" w:cs="Times New Roman"/>
          <w:color w:val="000000"/>
        </w:rPr>
      </w:pPr>
    </w:p>
    <w:p w14:paraId="40489D63" w14:textId="3203F857" w:rsidR="006E451B" w:rsidRPr="00080F61" w:rsidRDefault="0062049A" w:rsidP="00080F61">
      <w:pPr>
        <w:spacing w:after="225"/>
        <w:contextualSpacing/>
        <w:rPr>
          <w:rFonts w:ascii="Helvetica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lastRenderedPageBreak/>
        <w:t xml:space="preserve">NOTE: </w:t>
      </w:r>
      <w:r w:rsidRPr="00080F61">
        <w:rPr>
          <w:rFonts w:ascii="Helvetica" w:hAnsi="Helvetica" w:cs="Times New Roman"/>
          <w:color w:val="000000"/>
        </w:rPr>
        <w:t xml:space="preserve">What </w:t>
      </w:r>
      <w:r w:rsidRPr="00080F61">
        <w:rPr>
          <w:rFonts w:ascii="Helvetica" w:hAnsi="Helvetica" w:cs="Times New Roman"/>
          <w:b/>
          <w:color w:val="000000"/>
        </w:rPr>
        <w:t>may</w:t>
      </w:r>
      <w:r w:rsidRPr="00080F61">
        <w:rPr>
          <w:rFonts w:ascii="Helvetica" w:hAnsi="Helvetica" w:cs="Times New Roman"/>
          <w:color w:val="000000"/>
        </w:rPr>
        <w:t xml:space="preserve"> apply to new churches (church plants) is the provision that accommodates businesses that</w:t>
      </w:r>
      <w:r w:rsidR="006E451B" w:rsidRPr="00080F61">
        <w:rPr>
          <w:rFonts w:ascii="Helvetica" w:hAnsi="Helvetica" w:cs="Times New Roman"/>
          <w:color w:val="000000"/>
        </w:rPr>
        <w:t xml:space="preserve"> </w:t>
      </w:r>
      <w:r w:rsidR="006E451B" w:rsidRPr="00080F61">
        <w:rPr>
          <w:rFonts w:ascii="Helvetica" w:hAnsi="Helvetica" w:cs="Times New Roman"/>
          <w:i/>
          <w:color w:val="000000"/>
        </w:rPr>
        <w:t>were not in existence during the period from February 15, 2019 to June 30, 2019</w:t>
      </w:r>
      <w:r w:rsidRPr="00080F61">
        <w:rPr>
          <w:rFonts w:ascii="Helvetica" w:hAnsi="Helvetica" w:cs="Times New Roman"/>
          <w:color w:val="000000"/>
        </w:rPr>
        <w:t xml:space="preserve"> who will calculate </w:t>
      </w:r>
      <w:r w:rsidR="006E451B" w:rsidRPr="00080F61">
        <w:rPr>
          <w:rFonts w:ascii="Helvetica" w:eastAsia="Times New Roman" w:hAnsi="Helvetica" w:cs="Times New Roman"/>
          <w:color w:val="000000"/>
        </w:rPr>
        <w:t>2.5 times the average total monthly payroll payments from January 1, 2020 to February 29, 2020</w:t>
      </w:r>
      <w:proofErr w:type="gramStart"/>
      <w:r w:rsidR="006E451B" w:rsidRPr="00080F61">
        <w:rPr>
          <w:rFonts w:ascii="Helvetica" w:eastAsia="Times New Roman" w:hAnsi="Helvetica" w:cs="Times New Roman"/>
          <w:color w:val="000000"/>
        </w:rPr>
        <w:t>;</w:t>
      </w:r>
      <w:proofErr w:type="gramEnd"/>
    </w:p>
    <w:p w14:paraId="108C4330" w14:textId="77777777" w:rsidR="00C23973" w:rsidRDefault="00C23973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7E3C95AF" w14:textId="77777777" w:rsidR="00AC0531" w:rsidRDefault="00AC0531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45C65390" w14:textId="15F98FD5" w:rsidR="006E451B" w:rsidRPr="00080F61" w:rsidRDefault="0040343C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>
        <w:rPr>
          <w:rFonts w:ascii="Helvetica" w:hAnsi="Helvetica" w:cs="Times New Roman"/>
          <w:b/>
          <w:color w:val="000000"/>
        </w:rPr>
        <w:t>Is there any</w:t>
      </w:r>
      <w:r w:rsidR="00F468A9" w:rsidRPr="00080F61">
        <w:rPr>
          <w:rFonts w:ascii="Helvetica" w:hAnsi="Helvetica" w:cs="Times New Roman"/>
          <w:b/>
          <w:color w:val="000000"/>
        </w:rPr>
        <w:t xml:space="preserve"> “fine print” involved in securing and using this money? </w:t>
      </w:r>
    </w:p>
    <w:p w14:paraId="2BC42722" w14:textId="77777777" w:rsidR="006E451B" w:rsidRPr="00080F61" w:rsidRDefault="006E451B" w:rsidP="00080F61">
      <w:pPr>
        <w:numPr>
          <w:ilvl w:val="0"/>
          <w:numId w:val="7"/>
        </w:numPr>
        <w:spacing w:before="100" w:beforeAutospacing="1" w:after="100" w:afterAutospacing="1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The loan is needed to continue operations during the COVID-19 emergency;</w:t>
      </w:r>
    </w:p>
    <w:p w14:paraId="1F1E12B4" w14:textId="77777777" w:rsidR="006E451B" w:rsidRPr="00080F61" w:rsidRDefault="006E451B" w:rsidP="00080F61">
      <w:pPr>
        <w:numPr>
          <w:ilvl w:val="0"/>
          <w:numId w:val="7"/>
        </w:numPr>
        <w:spacing w:before="75" w:after="100" w:afterAutospacing="1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Funds will be used to retain workers and maintain payroll or make mortgage, lease, and utility payments;</w:t>
      </w:r>
    </w:p>
    <w:p w14:paraId="5FC04494" w14:textId="77777777" w:rsidR="006E451B" w:rsidRPr="00080F61" w:rsidRDefault="006E451B" w:rsidP="00080F61">
      <w:pPr>
        <w:numPr>
          <w:ilvl w:val="0"/>
          <w:numId w:val="7"/>
        </w:numPr>
        <w:spacing w:before="75" w:after="100" w:afterAutospacing="1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The applicant does not have any other application pending under this program for the same purpose; and</w:t>
      </w:r>
    </w:p>
    <w:p w14:paraId="6E13BCA7" w14:textId="77777777" w:rsidR="006E451B" w:rsidRPr="00080F61" w:rsidRDefault="006E451B" w:rsidP="00080F61">
      <w:pPr>
        <w:numPr>
          <w:ilvl w:val="0"/>
          <w:numId w:val="7"/>
        </w:numPr>
        <w:spacing w:before="75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From February 15, 2020 until December 31, 2020, the applicant has not received duplicative amounts under this program.</w:t>
      </w:r>
    </w:p>
    <w:p w14:paraId="0639392C" w14:textId="77777777" w:rsidR="005C277B" w:rsidRDefault="005C277B" w:rsidP="00080F61">
      <w:pPr>
        <w:spacing w:after="225"/>
        <w:contextualSpacing/>
        <w:rPr>
          <w:rFonts w:ascii="Helvetica" w:hAnsi="Helvetica" w:cs="Times New Roman"/>
          <w:color w:val="000000"/>
        </w:rPr>
      </w:pPr>
    </w:p>
    <w:p w14:paraId="381AFBD9" w14:textId="77777777" w:rsidR="00AC0531" w:rsidRPr="00080F61" w:rsidRDefault="00AC0531" w:rsidP="00080F61">
      <w:pPr>
        <w:spacing w:after="225"/>
        <w:contextualSpacing/>
        <w:rPr>
          <w:rFonts w:ascii="Helvetica" w:hAnsi="Helvetica" w:cs="Times New Roman"/>
          <w:color w:val="000000"/>
        </w:rPr>
      </w:pPr>
    </w:p>
    <w:p w14:paraId="5C53130A" w14:textId="361DCF1D" w:rsidR="006E451B" w:rsidRPr="00080F61" w:rsidRDefault="00F468A9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 xml:space="preserve">What may the money be used for? </w:t>
      </w:r>
    </w:p>
    <w:p w14:paraId="14979C69" w14:textId="533D0E53" w:rsidR="006E451B" w:rsidRPr="00080F61" w:rsidRDefault="00F468A9" w:rsidP="00080F61">
      <w:pPr>
        <w:numPr>
          <w:ilvl w:val="0"/>
          <w:numId w:val="8"/>
        </w:numPr>
        <w:spacing w:before="100" w:beforeAutospacing="1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 xml:space="preserve">Payroll costs with some exceptions (employees who make more than $100k prorated for the covered period, employees who reside outside of the US, sick and family leave wages). </w:t>
      </w:r>
    </w:p>
    <w:p w14:paraId="2ADAAC6B" w14:textId="77777777" w:rsidR="006E451B" w:rsidRPr="00080F61" w:rsidRDefault="006E451B" w:rsidP="00080F61">
      <w:pPr>
        <w:numPr>
          <w:ilvl w:val="0"/>
          <w:numId w:val="8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Group health care benefits during periods of paid sick, medical, or family leave, and insurance premiums;</w:t>
      </w:r>
    </w:p>
    <w:p w14:paraId="221544F0" w14:textId="77777777" w:rsidR="006E451B" w:rsidRPr="00080F61" w:rsidRDefault="006E451B" w:rsidP="00080F61">
      <w:pPr>
        <w:numPr>
          <w:ilvl w:val="0"/>
          <w:numId w:val="8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Salaries, commissions, or similar compensations;</w:t>
      </w:r>
    </w:p>
    <w:p w14:paraId="25026A47" w14:textId="77777777" w:rsidR="006E451B" w:rsidRPr="00080F61" w:rsidRDefault="006E451B" w:rsidP="00080F61">
      <w:pPr>
        <w:numPr>
          <w:ilvl w:val="0"/>
          <w:numId w:val="8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Payments of interest on mortgage obligations;</w:t>
      </w:r>
    </w:p>
    <w:p w14:paraId="68B3FD62" w14:textId="77777777" w:rsidR="006E451B" w:rsidRPr="00080F61" w:rsidRDefault="006E451B" w:rsidP="00080F61">
      <w:pPr>
        <w:numPr>
          <w:ilvl w:val="0"/>
          <w:numId w:val="8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Rent/lease agreement payments;</w:t>
      </w:r>
    </w:p>
    <w:p w14:paraId="5C0C7F67" w14:textId="77777777" w:rsidR="006E451B" w:rsidRPr="00080F61" w:rsidRDefault="006E451B" w:rsidP="00080F61">
      <w:pPr>
        <w:numPr>
          <w:ilvl w:val="0"/>
          <w:numId w:val="8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Utilities; and</w:t>
      </w:r>
    </w:p>
    <w:p w14:paraId="66807459" w14:textId="77777777" w:rsidR="006E451B" w:rsidRPr="00080F61" w:rsidRDefault="006E451B" w:rsidP="00080F61">
      <w:pPr>
        <w:numPr>
          <w:ilvl w:val="0"/>
          <w:numId w:val="8"/>
        </w:numPr>
        <w:spacing w:before="75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Interest on any other debt obligations incurred before the covered period.</w:t>
      </w:r>
    </w:p>
    <w:p w14:paraId="600CED7F" w14:textId="77777777" w:rsidR="00F468A9" w:rsidRDefault="00F468A9" w:rsidP="00080F61">
      <w:pPr>
        <w:spacing w:after="225" w:line="330" w:lineRule="atLeast"/>
        <w:contextualSpacing/>
        <w:outlineLvl w:val="4"/>
        <w:rPr>
          <w:rFonts w:ascii="Helvetica" w:hAnsi="Helvetica" w:cs="Times New Roman"/>
          <w:color w:val="000000"/>
        </w:rPr>
      </w:pPr>
    </w:p>
    <w:p w14:paraId="37078F8E" w14:textId="77777777" w:rsidR="00AC0531" w:rsidRPr="00080F61" w:rsidRDefault="00AC0531" w:rsidP="00080F61">
      <w:pPr>
        <w:spacing w:after="225" w:line="330" w:lineRule="atLeast"/>
        <w:contextualSpacing/>
        <w:outlineLvl w:val="4"/>
        <w:rPr>
          <w:rFonts w:ascii="Helvetica" w:hAnsi="Helvetica" w:cs="Times New Roman"/>
          <w:color w:val="000000"/>
        </w:rPr>
      </w:pPr>
    </w:p>
    <w:p w14:paraId="67223F9A" w14:textId="27EEF799" w:rsidR="00F468A9" w:rsidRPr="00080F61" w:rsidRDefault="00F468A9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>When must the borrowed money be paid back?</w:t>
      </w:r>
    </w:p>
    <w:p w14:paraId="61DABEC9" w14:textId="4A2D3B10" w:rsidR="006E451B" w:rsidRPr="00080F61" w:rsidRDefault="00F468A9" w:rsidP="00080F61">
      <w:pPr>
        <w:spacing w:after="225"/>
        <w:contextualSpacing/>
        <w:rPr>
          <w:rFonts w:ascii="Helvetica" w:hAnsi="Helvetica" w:cs="Times New Roman"/>
          <w:color w:val="000000"/>
          <w:u w:val="single"/>
        </w:rPr>
      </w:pPr>
      <w:r w:rsidRPr="00080F61">
        <w:rPr>
          <w:rFonts w:ascii="Helvetica" w:hAnsi="Helvetica" w:cs="Times New Roman"/>
          <w:color w:val="000000"/>
        </w:rPr>
        <w:t>Th</w:t>
      </w:r>
      <w:r w:rsidR="00080F61" w:rsidRPr="00080F61">
        <w:rPr>
          <w:rFonts w:ascii="Helvetica" w:hAnsi="Helvetica" w:cs="Times New Roman"/>
          <w:color w:val="000000"/>
        </w:rPr>
        <w:t>e law states that organizations</w:t>
      </w:r>
      <w:r w:rsidR="006E451B" w:rsidRPr="00080F61">
        <w:rPr>
          <w:rFonts w:ascii="Helvetica" w:hAnsi="Helvetica" w:cs="Times New Roman"/>
          <w:color w:val="000000"/>
        </w:rPr>
        <w:t xml:space="preserve"> that have a pending or approved loan application under this program are presumed to qualify for </w:t>
      </w:r>
      <w:r w:rsidR="006E451B" w:rsidRPr="00080F61">
        <w:rPr>
          <w:rFonts w:ascii="Helvetica" w:hAnsi="Helvetica" w:cs="Times New Roman"/>
          <w:b/>
          <w:color w:val="000000"/>
        </w:rPr>
        <w:t xml:space="preserve">complete payment deferment relief </w:t>
      </w:r>
      <w:r w:rsidR="006E451B" w:rsidRPr="00080F61">
        <w:rPr>
          <w:rFonts w:ascii="Helvetica" w:hAnsi="Helvetica" w:cs="Times New Roman"/>
          <w:color w:val="000000"/>
        </w:rPr>
        <w:t>(for principal, interest, and fees) for six months to one year.</w:t>
      </w:r>
      <w:r w:rsidR="006E451B" w:rsidRPr="00080F61">
        <w:rPr>
          <w:rFonts w:ascii="Helvetica" w:hAnsi="Helvetica" w:cs="Times New Roman"/>
          <w:color w:val="000000"/>
          <w:u w:val="single"/>
        </w:rPr>
        <w:t xml:space="preserve"> </w:t>
      </w:r>
    </w:p>
    <w:p w14:paraId="3266202A" w14:textId="77777777" w:rsidR="005840CF" w:rsidRDefault="005840CF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2BC4C6B3" w14:textId="77777777" w:rsidR="00AC0531" w:rsidRDefault="00AC0531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</w:p>
    <w:p w14:paraId="653D4131" w14:textId="685B5F77" w:rsidR="00F468A9" w:rsidRPr="00080F61" w:rsidRDefault="00F468A9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 xml:space="preserve">Are </w:t>
      </w:r>
      <w:r w:rsidR="00080F61" w:rsidRPr="00080F61">
        <w:rPr>
          <w:rFonts w:ascii="Helvetica" w:hAnsi="Helvetica" w:cs="Times New Roman"/>
          <w:b/>
          <w:color w:val="000000"/>
        </w:rPr>
        <w:t xml:space="preserve">some of </w:t>
      </w:r>
      <w:r w:rsidRPr="00080F61">
        <w:rPr>
          <w:rFonts w:ascii="Helvetica" w:hAnsi="Helvetica" w:cs="Times New Roman"/>
          <w:b/>
          <w:color w:val="000000"/>
        </w:rPr>
        <w:t>these loans going to be forgiven</w:t>
      </w:r>
      <w:r w:rsidR="00080F61" w:rsidRPr="00080F61">
        <w:rPr>
          <w:rFonts w:ascii="Helvetica" w:hAnsi="Helvetica" w:cs="Times New Roman"/>
          <w:b/>
          <w:color w:val="000000"/>
        </w:rPr>
        <w:t>, meaning</w:t>
      </w:r>
      <w:r w:rsidRPr="00080F61">
        <w:rPr>
          <w:rFonts w:ascii="Helvetica" w:hAnsi="Helvetica" w:cs="Times New Roman"/>
          <w:b/>
          <w:color w:val="000000"/>
        </w:rPr>
        <w:t xml:space="preserve"> they do not need to be paid back</w:t>
      </w:r>
      <w:r w:rsidR="008F4F57">
        <w:rPr>
          <w:rFonts w:ascii="Helvetica" w:hAnsi="Helvetica" w:cs="Times New Roman"/>
          <w:b/>
          <w:color w:val="000000"/>
        </w:rPr>
        <w:t xml:space="preserve"> at all</w:t>
      </w:r>
      <w:r w:rsidRPr="00080F61">
        <w:rPr>
          <w:rFonts w:ascii="Helvetica" w:hAnsi="Helvetica" w:cs="Times New Roman"/>
          <w:b/>
          <w:color w:val="000000"/>
        </w:rPr>
        <w:t>?</w:t>
      </w:r>
    </w:p>
    <w:p w14:paraId="1FD61A6F" w14:textId="32385A25" w:rsidR="006E451B" w:rsidRPr="00080F61" w:rsidRDefault="008F4F57" w:rsidP="00080F61">
      <w:pPr>
        <w:spacing w:after="225"/>
        <w:contextualSpacing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Yes - t</w:t>
      </w:r>
      <w:r w:rsidR="00F468A9" w:rsidRPr="00080F61">
        <w:rPr>
          <w:rFonts w:ascii="Helvetica" w:hAnsi="Helvetica" w:cs="Times New Roman"/>
          <w:color w:val="000000"/>
        </w:rPr>
        <w:t>here are loan forgiveness provisions. That is, what will be forgiven (not paid back to the lender and government) is</w:t>
      </w:r>
      <w:r w:rsidR="006E451B" w:rsidRPr="00080F61">
        <w:rPr>
          <w:rFonts w:ascii="Helvetica" w:hAnsi="Helvetica" w:cs="Times New Roman"/>
          <w:color w:val="000000"/>
        </w:rPr>
        <w:t xml:space="preserve"> equal to the following costs incurred and payments made during the covered period:</w:t>
      </w:r>
    </w:p>
    <w:p w14:paraId="73C0E000" w14:textId="77777777" w:rsidR="006E451B" w:rsidRPr="00080F61" w:rsidRDefault="006E451B" w:rsidP="00080F61">
      <w:pPr>
        <w:numPr>
          <w:ilvl w:val="0"/>
          <w:numId w:val="9"/>
        </w:numPr>
        <w:spacing w:before="100" w:beforeAutospacing="1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Payroll costs;</w:t>
      </w:r>
    </w:p>
    <w:p w14:paraId="495E4B5F" w14:textId="77777777" w:rsidR="006E451B" w:rsidRPr="00080F61" w:rsidRDefault="006E451B" w:rsidP="00080F61">
      <w:pPr>
        <w:numPr>
          <w:ilvl w:val="0"/>
          <w:numId w:val="9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Interest payments on mortgages;</w:t>
      </w:r>
    </w:p>
    <w:p w14:paraId="417E6097" w14:textId="77777777" w:rsidR="006E451B" w:rsidRPr="00080F61" w:rsidRDefault="006E451B" w:rsidP="00080F61">
      <w:pPr>
        <w:numPr>
          <w:ilvl w:val="0"/>
          <w:numId w:val="9"/>
        </w:numPr>
        <w:spacing w:before="75" w:after="100" w:afterAutospacing="1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Rent; and</w:t>
      </w:r>
    </w:p>
    <w:p w14:paraId="284C5BF8" w14:textId="77777777" w:rsidR="006E451B" w:rsidRPr="00080F61" w:rsidRDefault="006E451B" w:rsidP="00080F61">
      <w:pPr>
        <w:numPr>
          <w:ilvl w:val="0"/>
          <w:numId w:val="9"/>
        </w:numPr>
        <w:spacing w:before="75"/>
        <w:ind w:left="331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Utility payments.</w:t>
      </w:r>
    </w:p>
    <w:p w14:paraId="3D4BE0B7" w14:textId="77777777" w:rsidR="00066F18" w:rsidRDefault="00066F18" w:rsidP="00080F61">
      <w:pPr>
        <w:spacing w:after="225"/>
        <w:contextualSpacing/>
        <w:rPr>
          <w:rFonts w:ascii="Helvetica" w:hAnsi="Helvetica" w:cs="Times New Roman"/>
          <w:color w:val="000000"/>
        </w:rPr>
      </w:pPr>
    </w:p>
    <w:p w14:paraId="03FA1358" w14:textId="77777777" w:rsidR="00AC0531" w:rsidRPr="00080F61" w:rsidRDefault="00AC0531" w:rsidP="00080F61">
      <w:pPr>
        <w:spacing w:after="225"/>
        <w:contextualSpacing/>
        <w:rPr>
          <w:rFonts w:ascii="Helvetica" w:hAnsi="Helvetica" w:cs="Times New Roman"/>
          <w:color w:val="000000"/>
        </w:rPr>
      </w:pPr>
    </w:p>
    <w:p w14:paraId="0675B607" w14:textId="57CB5DBE" w:rsidR="00080F61" w:rsidRPr="00080F61" w:rsidRDefault="00080F61" w:rsidP="00080F61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>What would trigger the need to pay back the loan or a portion of it?</w:t>
      </w:r>
    </w:p>
    <w:p w14:paraId="14710E24" w14:textId="6F204FEB" w:rsidR="006E451B" w:rsidRPr="00080F61" w:rsidRDefault="008F4F57" w:rsidP="00080F61">
      <w:pPr>
        <w:spacing w:after="225"/>
        <w:contextualSpacing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>Suffice it to say that the law should be read carefully, but the purpose of the loan is to keep people employed. Therefore there is a disincentive to reducing staff at this time.</w:t>
      </w:r>
      <w:r>
        <w:rPr>
          <w:rFonts w:ascii="Helvetica" w:hAnsi="Helvetica" w:cs="Times New Roman"/>
          <w:color w:val="000000"/>
        </w:rPr>
        <w:t xml:space="preserve"> </w:t>
      </w:r>
      <w:r w:rsidR="006E451B" w:rsidRPr="00080F61">
        <w:rPr>
          <w:rFonts w:ascii="Helvetica" w:hAnsi="Helvetica" w:cs="Times New Roman"/>
          <w:color w:val="000000"/>
        </w:rPr>
        <w:t>Forgiveness amounts will be reduced for any employee cuts or reductions in wages.</w:t>
      </w:r>
      <w:r w:rsidR="00080F61" w:rsidRPr="00080F61">
        <w:rPr>
          <w:rFonts w:ascii="Helvetica" w:hAnsi="Helvetica" w:cs="Times New Roman"/>
          <w:color w:val="000000"/>
        </w:rPr>
        <w:t xml:space="preserve"> The actual calculations are included in the law and have to do with FTE (Full Time Equivalent) employee numbers. </w:t>
      </w:r>
    </w:p>
    <w:p w14:paraId="70D8CF26" w14:textId="77777777" w:rsidR="00C23973" w:rsidRDefault="00C23973" w:rsidP="00080F61">
      <w:pPr>
        <w:spacing w:before="100" w:beforeAutospacing="1" w:after="100" w:afterAutospacing="1"/>
        <w:ind w:left="-30"/>
        <w:contextualSpacing/>
        <w:rPr>
          <w:rFonts w:ascii="Helvetica" w:hAnsi="Helvetica" w:cs="Times New Roman"/>
          <w:b/>
          <w:color w:val="000000"/>
        </w:rPr>
      </w:pPr>
    </w:p>
    <w:p w14:paraId="6A5A898B" w14:textId="77777777" w:rsidR="00AC0531" w:rsidRDefault="00AC0531" w:rsidP="00080F61">
      <w:pPr>
        <w:spacing w:before="100" w:beforeAutospacing="1" w:after="100" w:afterAutospacing="1"/>
        <w:ind w:left="-30"/>
        <w:contextualSpacing/>
        <w:rPr>
          <w:rFonts w:ascii="Helvetica" w:hAnsi="Helvetica" w:cs="Times New Roman"/>
          <w:b/>
          <w:color w:val="000000"/>
        </w:rPr>
      </w:pPr>
    </w:p>
    <w:p w14:paraId="36BF6116" w14:textId="578DD49E" w:rsidR="00080F61" w:rsidRPr="00080F61" w:rsidRDefault="00080F61" w:rsidP="00080F61">
      <w:pPr>
        <w:spacing w:before="100" w:beforeAutospacing="1" w:after="100" w:afterAutospacing="1"/>
        <w:ind w:left="-30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>What documentation is needed for loan</w:t>
      </w:r>
      <w:r w:rsidR="0040343C">
        <w:rPr>
          <w:rFonts w:ascii="Helvetica" w:hAnsi="Helvetica" w:cs="Times New Roman"/>
          <w:b/>
          <w:color w:val="000000"/>
        </w:rPr>
        <w:t xml:space="preserve"> that can be forgiven</w:t>
      </w:r>
      <w:r w:rsidRPr="00080F61">
        <w:rPr>
          <w:rFonts w:ascii="Helvetica" w:hAnsi="Helvetica" w:cs="Times New Roman"/>
          <w:b/>
          <w:color w:val="000000"/>
        </w:rPr>
        <w:t>?</w:t>
      </w:r>
    </w:p>
    <w:p w14:paraId="757F5E00" w14:textId="02ACB599" w:rsidR="006E451B" w:rsidRPr="00080F61" w:rsidRDefault="006E451B" w:rsidP="00080F61">
      <w:pPr>
        <w:spacing w:before="100" w:beforeAutospacing="1" w:after="100" w:afterAutospacing="1"/>
        <w:contextualSpacing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>There are some required processes to apply for loan forgiveness. Borrowers seeking forgiveness of amounts must submit to their lender –</w:t>
      </w:r>
    </w:p>
    <w:p w14:paraId="32461FAF" w14:textId="77777777" w:rsidR="006E451B" w:rsidRPr="00080F61" w:rsidRDefault="006E451B" w:rsidP="00080F61">
      <w:pPr>
        <w:numPr>
          <w:ilvl w:val="0"/>
          <w:numId w:val="14"/>
        </w:numPr>
        <w:spacing w:before="100" w:beforeAutospacing="1" w:after="100" w:afterAutospacing="1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Documentation verifying FTEE on payroll and their pay rates;</w:t>
      </w:r>
    </w:p>
    <w:p w14:paraId="473A55D0" w14:textId="77777777" w:rsidR="006E451B" w:rsidRPr="00080F61" w:rsidRDefault="006E451B" w:rsidP="00080F61">
      <w:pPr>
        <w:numPr>
          <w:ilvl w:val="0"/>
          <w:numId w:val="14"/>
        </w:numPr>
        <w:spacing w:before="75" w:after="100" w:afterAutospacing="1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Documentation on covered costs/payments (e.g., documents verifying mortgage, rent, and utility payments);</w:t>
      </w:r>
    </w:p>
    <w:p w14:paraId="23FAF337" w14:textId="77777777" w:rsidR="006E451B" w:rsidRPr="00080F61" w:rsidRDefault="006E451B" w:rsidP="00080F61">
      <w:pPr>
        <w:numPr>
          <w:ilvl w:val="0"/>
          <w:numId w:val="14"/>
        </w:numPr>
        <w:spacing w:before="75" w:after="100" w:afterAutospacing="1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Certification from a business representative that the documentation is true and correct and that forgiveness amounts requested were used to retain employees and make other forgiveness-eligible payments; and</w:t>
      </w:r>
    </w:p>
    <w:p w14:paraId="6D5158F9" w14:textId="77777777" w:rsidR="006E451B" w:rsidRPr="00080F61" w:rsidRDefault="006E451B" w:rsidP="00080F61">
      <w:pPr>
        <w:numPr>
          <w:ilvl w:val="0"/>
          <w:numId w:val="14"/>
        </w:numPr>
        <w:spacing w:before="75"/>
        <w:ind w:left="330"/>
        <w:contextualSpacing/>
        <w:rPr>
          <w:rFonts w:ascii="Helvetica" w:eastAsia="Times New Roman" w:hAnsi="Helvetica" w:cs="Times New Roman"/>
          <w:color w:val="000000"/>
        </w:rPr>
      </w:pPr>
      <w:r w:rsidRPr="00080F61">
        <w:rPr>
          <w:rFonts w:ascii="Helvetica" w:eastAsia="Times New Roman" w:hAnsi="Helvetica" w:cs="Times New Roman"/>
          <w:color w:val="000000"/>
        </w:rPr>
        <w:t>Any other documentation the Administrator may require.</w:t>
      </w:r>
    </w:p>
    <w:p w14:paraId="47234A0A" w14:textId="795C23EA" w:rsidR="004B31FB" w:rsidRDefault="004B31FB" w:rsidP="00080F61">
      <w:pPr>
        <w:spacing w:after="225"/>
        <w:rPr>
          <w:rFonts w:ascii="Gotham SSm B" w:hAnsi="Gotham SSm B" w:cs="Times New Roman"/>
          <w:color w:val="000000"/>
          <w:sz w:val="27"/>
          <w:szCs w:val="27"/>
        </w:rPr>
      </w:pPr>
    </w:p>
    <w:p w14:paraId="784D0FB6" w14:textId="77777777" w:rsidR="0040343C" w:rsidRDefault="0040343C" w:rsidP="0040343C">
      <w:pPr>
        <w:spacing w:after="225"/>
        <w:contextualSpacing/>
        <w:rPr>
          <w:rFonts w:ascii="Helvetica" w:hAnsi="Helvetica" w:cs="Helvetica"/>
          <w:color w:val="000000"/>
        </w:rPr>
      </w:pPr>
      <w:r w:rsidRPr="005840CF">
        <w:rPr>
          <w:rFonts w:ascii="Helvetica" w:hAnsi="Helvetica" w:cs="Helvetica"/>
          <w:b/>
          <w:color w:val="000000"/>
        </w:rPr>
        <w:t>What can a church do today to prepare to take advantage of this program?</w:t>
      </w:r>
      <w:r w:rsidRPr="005840CF">
        <w:rPr>
          <w:rFonts w:ascii="Helvetica" w:hAnsi="Helvetica" w:cs="Helvetica"/>
          <w:color w:val="000000"/>
        </w:rPr>
        <w:t xml:space="preserve"> </w:t>
      </w:r>
    </w:p>
    <w:p w14:paraId="3F60AA2F" w14:textId="77777777" w:rsidR="0040343C" w:rsidRDefault="0040343C" w:rsidP="0040343C">
      <w:pPr>
        <w:spacing w:after="225"/>
        <w:contextualSpacing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</w:t>
      </w:r>
      <w:r w:rsidRPr="005840CF">
        <w:rPr>
          <w:rFonts w:ascii="Helvetica" w:hAnsi="Helvetica" w:cs="Helvetica"/>
          <w:color w:val="000000"/>
        </w:rPr>
        <w:t xml:space="preserve"> loan amount </w:t>
      </w:r>
      <w:r>
        <w:rPr>
          <w:rFonts w:ascii="Helvetica" w:hAnsi="Helvetica" w:cs="Helvetica"/>
          <w:color w:val="000000"/>
        </w:rPr>
        <w:t xml:space="preserve">possible is based on the </w:t>
      </w:r>
      <w:r w:rsidRPr="005840CF">
        <w:rPr>
          <w:rFonts w:ascii="Helvetica" w:hAnsi="Helvetica" w:cs="Helvetica"/>
          <w:color w:val="000000"/>
        </w:rPr>
        <w:t xml:space="preserve">average monthly payroll expense over the 12 months prior to the loan amount. First, churches can start preparing a payroll spreadsheet that breaks out these expenses for the previous twelve months. Second, since the forgiveness terms of that loan are based on the ration number of FTEs </w:t>
      </w:r>
      <w:r>
        <w:rPr>
          <w:rFonts w:ascii="Helvetica" w:hAnsi="Helvetica" w:cs="Helvetica"/>
          <w:color w:val="000000"/>
        </w:rPr>
        <w:t>(Full Time Equivalent) begin to assemble</w:t>
      </w:r>
      <w:r w:rsidRPr="005840CF">
        <w:rPr>
          <w:rFonts w:ascii="Helvetica" w:hAnsi="Helvetica" w:cs="Helvetica"/>
          <w:color w:val="000000"/>
        </w:rPr>
        <w:t xml:space="preserve"> documentation for FTEs in 2019 and 2020.</w:t>
      </w:r>
    </w:p>
    <w:p w14:paraId="3F81D305" w14:textId="77777777" w:rsidR="00A82F4E" w:rsidRDefault="00A82F4E" w:rsidP="005840CF">
      <w:pPr>
        <w:spacing w:after="225"/>
        <w:contextualSpacing/>
        <w:rPr>
          <w:rFonts w:ascii="Gotham SSm B" w:hAnsi="Gotham SSm B" w:cs="Times New Roman"/>
          <w:color w:val="000000"/>
          <w:sz w:val="27"/>
          <w:szCs w:val="27"/>
        </w:rPr>
      </w:pPr>
    </w:p>
    <w:p w14:paraId="2E5B8698" w14:textId="77777777" w:rsidR="00AC0531" w:rsidRDefault="00AC0531" w:rsidP="005840CF">
      <w:pPr>
        <w:spacing w:after="225"/>
        <w:contextualSpacing/>
        <w:rPr>
          <w:rFonts w:ascii="Gotham SSm B" w:hAnsi="Gotham SSm B" w:cs="Times New Roman"/>
          <w:color w:val="000000"/>
          <w:sz w:val="27"/>
          <w:szCs w:val="27"/>
        </w:rPr>
      </w:pPr>
    </w:p>
    <w:p w14:paraId="13997A3C" w14:textId="77777777" w:rsidR="005840CF" w:rsidRDefault="005840CF" w:rsidP="005840CF">
      <w:pPr>
        <w:spacing w:after="225"/>
        <w:contextualSpacing/>
        <w:rPr>
          <w:rFonts w:ascii="Helvetica" w:hAnsi="Helvetica" w:cs="Helvetica"/>
          <w:color w:val="000000"/>
        </w:rPr>
      </w:pPr>
      <w:r w:rsidRPr="005840CF">
        <w:rPr>
          <w:rFonts w:ascii="Helvetica" w:hAnsi="Helvetica" w:cs="Helvetica"/>
          <w:b/>
          <w:color w:val="000000"/>
        </w:rPr>
        <w:t xml:space="preserve">When does this program start and when could </w:t>
      </w:r>
      <w:r>
        <w:rPr>
          <w:rFonts w:ascii="Helvetica" w:hAnsi="Helvetica" w:cs="Helvetica"/>
          <w:b/>
          <w:color w:val="000000"/>
        </w:rPr>
        <w:t>churches receive funds?</w:t>
      </w:r>
      <w:r w:rsidRPr="005840CF">
        <w:rPr>
          <w:rFonts w:ascii="Helvetica" w:hAnsi="Helvetica" w:cs="Helvetica"/>
          <w:color w:val="000000"/>
        </w:rPr>
        <w:t xml:space="preserve">   </w:t>
      </w:r>
    </w:p>
    <w:p w14:paraId="45A6E255" w14:textId="580BA0A0" w:rsidR="008F4F57" w:rsidRPr="005840CF" w:rsidRDefault="005840CF" w:rsidP="005840CF">
      <w:pPr>
        <w:spacing w:after="225"/>
        <w:contextualSpacing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  <w:r w:rsidRPr="005840CF">
        <w:rPr>
          <w:rFonts w:ascii="Helvetica" w:hAnsi="Helvetica" w:cs="Helvetica"/>
          <w:color w:val="000000"/>
        </w:rPr>
        <w:t>anks and lenders will need a period of time to prepare and unde</w:t>
      </w:r>
      <w:r>
        <w:rPr>
          <w:rFonts w:ascii="Helvetica" w:hAnsi="Helvetica" w:cs="Helvetica"/>
          <w:color w:val="000000"/>
        </w:rPr>
        <w:t xml:space="preserve">rstand the terms of the program, as it is late breaking and dynamic at this point. </w:t>
      </w:r>
      <w:r w:rsidRPr="005840CF">
        <w:rPr>
          <w:rFonts w:ascii="Helvetica" w:hAnsi="Helvetica" w:cs="Helvetica"/>
          <w:color w:val="000000"/>
        </w:rPr>
        <w:t xml:space="preserve">The earliest </w:t>
      </w:r>
      <w:r>
        <w:rPr>
          <w:rFonts w:ascii="Helvetica" w:hAnsi="Helvetica" w:cs="Helvetica"/>
          <w:color w:val="000000"/>
        </w:rPr>
        <w:t>a</w:t>
      </w:r>
      <w:r w:rsidRPr="005840CF">
        <w:rPr>
          <w:rFonts w:ascii="Helvetica" w:hAnsi="Helvetica" w:cs="Helvetica"/>
          <w:color w:val="000000"/>
        </w:rPr>
        <w:t xml:space="preserve"> lender </w:t>
      </w:r>
      <w:r>
        <w:rPr>
          <w:rFonts w:ascii="Helvetica" w:hAnsi="Helvetica" w:cs="Helvetica"/>
          <w:color w:val="000000"/>
        </w:rPr>
        <w:t>would likely</w:t>
      </w:r>
      <w:r w:rsidRPr="005840CF">
        <w:rPr>
          <w:rFonts w:ascii="Helvetica" w:hAnsi="Helvetica" w:cs="Helvetica"/>
          <w:color w:val="000000"/>
        </w:rPr>
        <w:t xml:space="preserve"> be ready for a conversation would be April 3, 2020</w:t>
      </w:r>
      <w:r>
        <w:rPr>
          <w:rFonts w:ascii="Helvetica" w:hAnsi="Helvetica" w:cs="Helvetica"/>
          <w:color w:val="000000"/>
        </w:rPr>
        <w:t>. Funds would be deposited</w:t>
      </w:r>
      <w:r w:rsidRPr="005840CF">
        <w:rPr>
          <w:rFonts w:ascii="Helvetica" w:hAnsi="Helvetica" w:cs="Helvetica"/>
          <w:color w:val="000000"/>
        </w:rPr>
        <w:t xml:space="preserve"> into </w:t>
      </w:r>
      <w:r>
        <w:rPr>
          <w:rFonts w:ascii="Helvetica" w:hAnsi="Helvetica" w:cs="Helvetica"/>
          <w:color w:val="000000"/>
        </w:rPr>
        <w:t>the church’s</w:t>
      </w:r>
      <w:r w:rsidRPr="005840CF">
        <w:rPr>
          <w:rFonts w:ascii="Helvetica" w:hAnsi="Helvetica" w:cs="Helvetica"/>
          <w:color w:val="000000"/>
        </w:rPr>
        <w:t xml:space="preserve"> account within days of </w:t>
      </w:r>
      <w:r>
        <w:rPr>
          <w:rFonts w:ascii="Helvetica" w:hAnsi="Helvetica" w:cs="Helvetica"/>
          <w:color w:val="000000"/>
        </w:rPr>
        <w:t xml:space="preserve">the </w:t>
      </w:r>
      <w:r w:rsidRPr="005840CF">
        <w:rPr>
          <w:rFonts w:ascii="Helvetica" w:hAnsi="Helvetica" w:cs="Helvetica"/>
          <w:color w:val="000000"/>
        </w:rPr>
        <w:t>application being process</w:t>
      </w:r>
      <w:r>
        <w:rPr>
          <w:rFonts w:ascii="Helvetica" w:hAnsi="Helvetica" w:cs="Helvetica"/>
          <w:color w:val="000000"/>
        </w:rPr>
        <w:t>ed and approved</w:t>
      </w:r>
      <w:r w:rsidRPr="005840CF">
        <w:rPr>
          <w:rFonts w:ascii="Helvetica" w:hAnsi="Helvetica" w:cs="Helvetica"/>
          <w:color w:val="000000"/>
        </w:rPr>
        <w:t xml:space="preserve">. </w:t>
      </w:r>
    </w:p>
    <w:p w14:paraId="6CB6D501" w14:textId="77777777" w:rsidR="005840CF" w:rsidRDefault="005840CF" w:rsidP="005840CF">
      <w:pPr>
        <w:spacing w:after="225"/>
        <w:contextualSpacing/>
        <w:rPr>
          <w:rFonts w:ascii="Helvetica" w:hAnsi="Helvetica" w:cs="Helvetica"/>
          <w:color w:val="000000"/>
        </w:rPr>
      </w:pPr>
    </w:p>
    <w:p w14:paraId="08473AAE" w14:textId="77777777" w:rsidR="00AC0531" w:rsidRDefault="00AC0531" w:rsidP="005840CF">
      <w:pPr>
        <w:spacing w:after="225"/>
        <w:contextualSpacing/>
        <w:rPr>
          <w:rFonts w:ascii="Helvetica" w:hAnsi="Helvetica" w:cs="Helvetica"/>
          <w:color w:val="000000"/>
        </w:rPr>
      </w:pPr>
    </w:p>
    <w:p w14:paraId="503EFD60" w14:textId="4E76D2CD" w:rsidR="0040343C" w:rsidRPr="00080F61" w:rsidRDefault="0040343C" w:rsidP="0040343C">
      <w:pPr>
        <w:spacing w:after="225"/>
        <w:contextualSpacing/>
        <w:rPr>
          <w:rFonts w:ascii="Helvetica" w:hAnsi="Helvetica" w:cs="Times New Roman"/>
          <w:b/>
          <w:color w:val="000000"/>
        </w:rPr>
      </w:pPr>
      <w:r w:rsidRPr="00080F61">
        <w:rPr>
          <w:rFonts w:ascii="Helvetica" w:hAnsi="Helvetica" w:cs="Times New Roman"/>
          <w:b/>
          <w:color w:val="000000"/>
        </w:rPr>
        <w:t xml:space="preserve">What are some of the </w:t>
      </w:r>
      <w:r w:rsidR="00A82F4E">
        <w:rPr>
          <w:rFonts w:ascii="Helvetica" w:hAnsi="Helvetica" w:cs="Times New Roman"/>
          <w:b/>
          <w:color w:val="000000"/>
        </w:rPr>
        <w:t xml:space="preserve">other </w:t>
      </w:r>
      <w:r w:rsidRPr="00A82F4E">
        <w:rPr>
          <w:rFonts w:ascii="Helvetica" w:hAnsi="Helvetica" w:cs="Times New Roman"/>
          <w:b/>
          <w:i/>
          <w:color w:val="000000"/>
        </w:rPr>
        <w:t>technical features</w:t>
      </w:r>
      <w:r w:rsidRPr="00080F61">
        <w:rPr>
          <w:rFonts w:ascii="Helvetica" w:hAnsi="Helvetica" w:cs="Times New Roman"/>
          <w:b/>
          <w:color w:val="000000"/>
        </w:rPr>
        <w:t xml:space="preserve"> of these loans?</w:t>
      </w:r>
    </w:p>
    <w:p w14:paraId="1B8B221F" w14:textId="77777777" w:rsidR="0040343C" w:rsidRPr="00080F61" w:rsidRDefault="0040343C" w:rsidP="0040343C">
      <w:pPr>
        <w:spacing w:after="225"/>
        <w:contextualSpacing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 xml:space="preserve">Similar criteria is used for other Small Business loans, but in this case, there are some unique features: </w:t>
      </w:r>
    </w:p>
    <w:p w14:paraId="43A8B55C" w14:textId="77777777" w:rsidR="0040343C" w:rsidRPr="00080F61" w:rsidRDefault="0040343C" w:rsidP="0040343C">
      <w:pPr>
        <w:pStyle w:val="ListParagraph"/>
        <w:numPr>
          <w:ilvl w:val="0"/>
          <w:numId w:val="53"/>
        </w:numPr>
        <w:spacing w:after="225"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>They cannot require any personal guarantees or collateral</w:t>
      </w:r>
    </w:p>
    <w:p w14:paraId="3A4269CE" w14:textId="77777777" w:rsidR="0040343C" w:rsidRPr="00080F61" w:rsidRDefault="0040343C" w:rsidP="0040343C">
      <w:pPr>
        <w:pStyle w:val="ListParagraph"/>
        <w:numPr>
          <w:ilvl w:val="0"/>
          <w:numId w:val="53"/>
        </w:numPr>
        <w:spacing w:after="225"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>Interest is not to exceed 4%</w:t>
      </w:r>
    </w:p>
    <w:p w14:paraId="20E1E672" w14:textId="77777777" w:rsidR="0040343C" w:rsidRPr="00080F61" w:rsidRDefault="0040343C" w:rsidP="0040343C">
      <w:pPr>
        <w:pStyle w:val="ListParagraph"/>
        <w:numPr>
          <w:ilvl w:val="0"/>
          <w:numId w:val="53"/>
        </w:numPr>
        <w:spacing w:after="225"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>No subsidy recoupment fee nor prepayment penalties</w:t>
      </w:r>
    </w:p>
    <w:p w14:paraId="3910B00F" w14:textId="57C82AEC" w:rsidR="0040343C" w:rsidRDefault="0040343C" w:rsidP="005840CF">
      <w:pPr>
        <w:pStyle w:val="ListParagraph"/>
        <w:numPr>
          <w:ilvl w:val="0"/>
          <w:numId w:val="53"/>
        </w:numPr>
        <w:spacing w:after="225"/>
        <w:rPr>
          <w:rFonts w:ascii="Helvetica" w:hAnsi="Helvetica" w:cs="Times New Roman"/>
          <w:color w:val="000000"/>
        </w:rPr>
      </w:pPr>
      <w:r w:rsidRPr="00080F61">
        <w:rPr>
          <w:rFonts w:ascii="Helvetica" w:hAnsi="Helvetica" w:cs="Times New Roman"/>
          <w:color w:val="000000"/>
        </w:rPr>
        <w:t xml:space="preserve">The lender has no recourse against any person for non-payment unless that individual uses the </w:t>
      </w:r>
      <w:r w:rsidR="00A82F4E">
        <w:rPr>
          <w:rFonts w:ascii="Helvetica" w:hAnsi="Helvetica" w:cs="Times New Roman"/>
          <w:color w:val="000000"/>
        </w:rPr>
        <w:t>money for unauthorized purposes.</w:t>
      </w:r>
    </w:p>
    <w:p w14:paraId="717DAC8E" w14:textId="0CB08A14" w:rsidR="00A82F4E" w:rsidRPr="00A82F4E" w:rsidRDefault="00A82F4E" w:rsidP="00A82F4E">
      <w:pPr>
        <w:spacing w:after="225"/>
        <w:rPr>
          <w:rFonts w:ascii="Helvetica" w:hAnsi="Helvetica" w:cs="Times New Roman"/>
          <w:b/>
          <w:color w:val="000000"/>
        </w:rPr>
      </w:pPr>
      <w:r>
        <w:rPr>
          <w:rFonts w:ascii="Helvetica" w:hAnsi="Helvetica" w:cs="Times New Roman"/>
          <w:b/>
          <w:color w:val="000000"/>
        </w:rPr>
        <w:t xml:space="preserve">Did the charitable deduction rules and limitations just get changed as well? </w:t>
      </w:r>
    </w:p>
    <w:p w14:paraId="3517EA20" w14:textId="119D47BE" w:rsidR="00A82F4E" w:rsidRPr="00A82F4E" w:rsidRDefault="00A82F4E" w:rsidP="00A82F4E">
      <w:pPr>
        <w:spacing w:after="225"/>
        <w:rPr>
          <w:rFonts w:ascii="Helvetica" w:hAnsi="Helvetica" w:cs="Times New Roman"/>
          <w:color w:val="000000"/>
        </w:rPr>
      </w:pPr>
      <w:r w:rsidRPr="00A82F4E">
        <w:rPr>
          <w:rFonts w:ascii="Helvetica" w:hAnsi="Helvetica" w:cs="Times New Roman"/>
          <w:color w:val="000000"/>
        </w:rPr>
        <w:t xml:space="preserve">Yes – there is less limitation on individuals and corporations – this is good news for churches. The CARES act relaxed some of the limits by suspending the 60% adjusted gross income limitation on individuals and increased it to 100% (this is especially advantageous to major donors). As well, the law increased the lifted the limitation on corporations from 10% to 25%. </w:t>
      </w:r>
    </w:p>
    <w:p w14:paraId="59D60E93" w14:textId="77777777" w:rsidR="00AC0531" w:rsidRDefault="00AC0531" w:rsidP="00A82F4E">
      <w:pPr>
        <w:spacing w:after="225"/>
        <w:rPr>
          <w:rFonts w:ascii="Helvetica" w:hAnsi="Helvetica" w:cs="Times New Roman"/>
          <w:b/>
          <w:color w:val="000000"/>
        </w:rPr>
      </w:pPr>
    </w:p>
    <w:p w14:paraId="22EC2159" w14:textId="29763253" w:rsidR="00A82F4E" w:rsidRPr="00A82F4E" w:rsidRDefault="00A82F4E" w:rsidP="00A82F4E">
      <w:pPr>
        <w:spacing w:after="225"/>
        <w:rPr>
          <w:rFonts w:ascii="Helvetica" w:hAnsi="Helvetica" w:cs="Times New Roman"/>
          <w:b/>
          <w:color w:val="000000"/>
        </w:rPr>
      </w:pPr>
      <w:r w:rsidRPr="00A82F4E">
        <w:rPr>
          <w:rFonts w:ascii="Helvetica" w:hAnsi="Helvetica" w:cs="Times New Roman"/>
          <w:b/>
          <w:color w:val="000000"/>
        </w:rPr>
        <w:t>Are there resources that allow for even more explanation?</w:t>
      </w:r>
    </w:p>
    <w:p w14:paraId="7E80ACE8" w14:textId="5077AFEE" w:rsidR="00A82F4E" w:rsidRDefault="00A82F4E" w:rsidP="00A82F4E">
      <w:pPr>
        <w:spacing w:after="22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New articles, blogs and updates are happening daily.  A few recommended resources (again, short of reading the hundreds of pages of the actual law) are Inside Charity and the EFCA:</w:t>
      </w:r>
    </w:p>
    <w:p w14:paraId="6420916B" w14:textId="1AA5132E" w:rsidR="00A82F4E" w:rsidRPr="00A82F4E" w:rsidRDefault="00A82F4E" w:rsidP="00A82F4E">
      <w:pPr>
        <w:spacing w:after="225"/>
        <w:rPr>
          <w:rStyle w:val="Hyperlink"/>
          <w:rFonts w:ascii="Arial" w:hAnsi="Arial" w:cs="Arial"/>
        </w:rPr>
      </w:pPr>
      <w:hyperlink r:id="rId6" w:history="1">
        <w:r w:rsidRPr="00A82F4E">
          <w:rPr>
            <w:rStyle w:val="Hyperlink"/>
            <w:rFonts w:ascii="Arial" w:hAnsi="Arial" w:cs="Arial"/>
          </w:rPr>
          <w:t>https://insidecharity.org/2020/03/28/cares-act-for-nonprofits/</w:t>
        </w:r>
      </w:hyperlink>
    </w:p>
    <w:p w14:paraId="290E0A45" w14:textId="77777777" w:rsidR="00A82F4E" w:rsidRPr="00A82F4E" w:rsidRDefault="00A82F4E" w:rsidP="00A82F4E">
      <w:pPr>
        <w:rPr>
          <w:rFonts w:ascii="Arial" w:eastAsia="Times New Roman" w:hAnsi="Arial" w:cs="Arial"/>
        </w:rPr>
      </w:pPr>
      <w:hyperlink r:id="rId7" w:history="1">
        <w:r w:rsidRPr="00A82F4E">
          <w:rPr>
            <w:rFonts w:ascii="Arial" w:eastAsia="Times New Roman" w:hAnsi="Arial" w:cs="Arial"/>
            <w:color w:val="0000FF"/>
            <w:u w:val="single"/>
          </w:rPr>
          <w:t>https://www.ecfa.org/Content/How-the-COVID-19-Economic-Stimulus-Bill-Affects-Churches-and-Nonprofits</w:t>
        </w:r>
      </w:hyperlink>
    </w:p>
    <w:p w14:paraId="70AC9CF3" w14:textId="77777777" w:rsidR="00A82F4E" w:rsidRPr="00A82F4E" w:rsidRDefault="00A82F4E" w:rsidP="00A82F4E">
      <w:pPr>
        <w:spacing w:after="225"/>
        <w:rPr>
          <w:rFonts w:ascii="Helvetica" w:hAnsi="Helvetica" w:cs="Times New Roman"/>
          <w:color w:val="000000"/>
        </w:rPr>
      </w:pPr>
    </w:p>
    <w:sectPr w:rsidR="00A82F4E" w:rsidRPr="00A82F4E" w:rsidSect="002964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SSm 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9E6"/>
    <w:multiLevelType w:val="multilevel"/>
    <w:tmpl w:val="520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8506F"/>
    <w:multiLevelType w:val="multilevel"/>
    <w:tmpl w:val="F6D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F308B"/>
    <w:multiLevelType w:val="multilevel"/>
    <w:tmpl w:val="F5F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204C1"/>
    <w:multiLevelType w:val="multilevel"/>
    <w:tmpl w:val="2CA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72"/>
    <w:multiLevelType w:val="multilevel"/>
    <w:tmpl w:val="A53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14E48"/>
    <w:multiLevelType w:val="multilevel"/>
    <w:tmpl w:val="F08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95DDA"/>
    <w:multiLevelType w:val="multilevel"/>
    <w:tmpl w:val="5D7A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BC4B02"/>
    <w:multiLevelType w:val="multilevel"/>
    <w:tmpl w:val="856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5558F"/>
    <w:multiLevelType w:val="multilevel"/>
    <w:tmpl w:val="1CA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822E3"/>
    <w:multiLevelType w:val="multilevel"/>
    <w:tmpl w:val="285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342EE4"/>
    <w:multiLevelType w:val="multilevel"/>
    <w:tmpl w:val="2A0A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B5D06"/>
    <w:multiLevelType w:val="multilevel"/>
    <w:tmpl w:val="E59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7F1E77"/>
    <w:multiLevelType w:val="multilevel"/>
    <w:tmpl w:val="F04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34B17"/>
    <w:multiLevelType w:val="multilevel"/>
    <w:tmpl w:val="D032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E1A0F"/>
    <w:multiLevelType w:val="hybridMultilevel"/>
    <w:tmpl w:val="E16C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07C9B"/>
    <w:multiLevelType w:val="multilevel"/>
    <w:tmpl w:val="118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D66F1"/>
    <w:multiLevelType w:val="multilevel"/>
    <w:tmpl w:val="DD6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80CB9"/>
    <w:multiLevelType w:val="multilevel"/>
    <w:tmpl w:val="97A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1213D1"/>
    <w:multiLevelType w:val="multilevel"/>
    <w:tmpl w:val="E0C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E34EF"/>
    <w:multiLevelType w:val="multilevel"/>
    <w:tmpl w:val="CBF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733D32"/>
    <w:multiLevelType w:val="multilevel"/>
    <w:tmpl w:val="D7F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FD66E0"/>
    <w:multiLevelType w:val="multilevel"/>
    <w:tmpl w:val="E032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724A64"/>
    <w:multiLevelType w:val="multilevel"/>
    <w:tmpl w:val="2EE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1A475E"/>
    <w:multiLevelType w:val="multilevel"/>
    <w:tmpl w:val="4C8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401076"/>
    <w:multiLevelType w:val="multilevel"/>
    <w:tmpl w:val="4A66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E66061"/>
    <w:multiLevelType w:val="multilevel"/>
    <w:tmpl w:val="5A3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E0626"/>
    <w:multiLevelType w:val="multilevel"/>
    <w:tmpl w:val="3184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B42944"/>
    <w:multiLevelType w:val="multilevel"/>
    <w:tmpl w:val="968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C009EC"/>
    <w:multiLevelType w:val="multilevel"/>
    <w:tmpl w:val="B274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B21E4"/>
    <w:multiLevelType w:val="multilevel"/>
    <w:tmpl w:val="9FA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7A5359"/>
    <w:multiLevelType w:val="multilevel"/>
    <w:tmpl w:val="894A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AA1967"/>
    <w:multiLevelType w:val="multilevel"/>
    <w:tmpl w:val="5EFE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80298"/>
    <w:multiLevelType w:val="multilevel"/>
    <w:tmpl w:val="4DC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71EED"/>
    <w:multiLevelType w:val="multilevel"/>
    <w:tmpl w:val="60D6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7717B"/>
    <w:multiLevelType w:val="multilevel"/>
    <w:tmpl w:val="A52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FA0747"/>
    <w:multiLevelType w:val="multilevel"/>
    <w:tmpl w:val="C77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144242"/>
    <w:multiLevelType w:val="multilevel"/>
    <w:tmpl w:val="4EB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A12D2B"/>
    <w:multiLevelType w:val="multilevel"/>
    <w:tmpl w:val="E9F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65DEE"/>
    <w:multiLevelType w:val="multilevel"/>
    <w:tmpl w:val="8D46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CF7BA6"/>
    <w:multiLevelType w:val="multilevel"/>
    <w:tmpl w:val="C53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3E244A"/>
    <w:multiLevelType w:val="multilevel"/>
    <w:tmpl w:val="EC1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3253EC"/>
    <w:multiLevelType w:val="multilevel"/>
    <w:tmpl w:val="7D2E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014B55"/>
    <w:multiLevelType w:val="multilevel"/>
    <w:tmpl w:val="6B6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5526C"/>
    <w:multiLevelType w:val="multilevel"/>
    <w:tmpl w:val="83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4A1A83"/>
    <w:multiLevelType w:val="multilevel"/>
    <w:tmpl w:val="B65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FF5F7B"/>
    <w:multiLevelType w:val="multilevel"/>
    <w:tmpl w:val="595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EC5F92"/>
    <w:multiLevelType w:val="multilevel"/>
    <w:tmpl w:val="58B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1E3C25"/>
    <w:multiLevelType w:val="multilevel"/>
    <w:tmpl w:val="5204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A15BF3"/>
    <w:multiLevelType w:val="multilevel"/>
    <w:tmpl w:val="86E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37171D"/>
    <w:multiLevelType w:val="multilevel"/>
    <w:tmpl w:val="F0F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C56926"/>
    <w:multiLevelType w:val="multilevel"/>
    <w:tmpl w:val="311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1A014B"/>
    <w:multiLevelType w:val="multilevel"/>
    <w:tmpl w:val="A62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5481522"/>
    <w:multiLevelType w:val="multilevel"/>
    <w:tmpl w:val="C1A6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E54209"/>
    <w:multiLevelType w:val="multilevel"/>
    <w:tmpl w:val="172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51"/>
  </w:num>
  <w:num w:numId="4">
    <w:abstractNumId w:val="31"/>
  </w:num>
  <w:num w:numId="5">
    <w:abstractNumId w:val="29"/>
  </w:num>
  <w:num w:numId="6">
    <w:abstractNumId w:val="15"/>
  </w:num>
  <w:num w:numId="7">
    <w:abstractNumId w:val="30"/>
  </w:num>
  <w:num w:numId="8">
    <w:abstractNumId w:val="36"/>
  </w:num>
  <w:num w:numId="9">
    <w:abstractNumId w:val="35"/>
  </w:num>
  <w:num w:numId="10">
    <w:abstractNumId w:val="24"/>
  </w:num>
  <w:num w:numId="11">
    <w:abstractNumId w:val="47"/>
  </w:num>
  <w:num w:numId="12">
    <w:abstractNumId w:val="9"/>
  </w:num>
  <w:num w:numId="13">
    <w:abstractNumId w:val="38"/>
  </w:num>
  <w:num w:numId="14">
    <w:abstractNumId w:val="37"/>
  </w:num>
  <w:num w:numId="15">
    <w:abstractNumId w:val="0"/>
  </w:num>
  <w:num w:numId="16">
    <w:abstractNumId w:val="4"/>
  </w:num>
  <w:num w:numId="17">
    <w:abstractNumId w:val="2"/>
  </w:num>
  <w:num w:numId="18">
    <w:abstractNumId w:val="34"/>
  </w:num>
  <w:num w:numId="19">
    <w:abstractNumId w:val="12"/>
  </w:num>
  <w:num w:numId="20">
    <w:abstractNumId w:val="48"/>
  </w:num>
  <w:num w:numId="21">
    <w:abstractNumId w:val="53"/>
  </w:num>
  <w:num w:numId="22">
    <w:abstractNumId w:val="20"/>
  </w:num>
  <w:num w:numId="23">
    <w:abstractNumId w:val="39"/>
  </w:num>
  <w:num w:numId="24">
    <w:abstractNumId w:val="8"/>
  </w:num>
  <w:num w:numId="25">
    <w:abstractNumId w:val="26"/>
  </w:num>
  <w:num w:numId="26">
    <w:abstractNumId w:val="21"/>
  </w:num>
  <w:num w:numId="27">
    <w:abstractNumId w:val="45"/>
  </w:num>
  <w:num w:numId="28">
    <w:abstractNumId w:val="16"/>
  </w:num>
  <w:num w:numId="29">
    <w:abstractNumId w:val="44"/>
  </w:num>
  <w:num w:numId="30">
    <w:abstractNumId w:val="25"/>
  </w:num>
  <w:num w:numId="31">
    <w:abstractNumId w:val="41"/>
  </w:num>
  <w:num w:numId="32">
    <w:abstractNumId w:val="22"/>
  </w:num>
  <w:num w:numId="33">
    <w:abstractNumId w:val="10"/>
  </w:num>
  <w:num w:numId="34">
    <w:abstractNumId w:val="19"/>
  </w:num>
  <w:num w:numId="35">
    <w:abstractNumId w:val="46"/>
  </w:num>
  <w:num w:numId="36">
    <w:abstractNumId w:val="42"/>
  </w:num>
  <w:num w:numId="37">
    <w:abstractNumId w:val="3"/>
  </w:num>
  <w:num w:numId="38">
    <w:abstractNumId w:val="17"/>
  </w:num>
  <w:num w:numId="39">
    <w:abstractNumId w:val="28"/>
  </w:num>
  <w:num w:numId="40">
    <w:abstractNumId w:val="52"/>
  </w:num>
  <w:num w:numId="41">
    <w:abstractNumId w:val="11"/>
  </w:num>
  <w:num w:numId="42">
    <w:abstractNumId w:val="49"/>
  </w:num>
  <w:num w:numId="43">
    <w:abstractNumId w:val="23"/>
  </w:num>
  <w:num w:numId="44">
    <w:abstractNumId w:val="5"/>
  </w:num>
  <w:num w:numId="45">
    <w:abstractNumId w:val="40"/>
  </w:num>
  <w:num w:numId="46">
    <w:abstractNumId w:val="27"/>
  </w:num>
  <w:num w:numId="47">
    <w:abstractNumId w:val="6"/>
  </w:num>
  <w:num w:numId="48">
    <w:abstractNumId w:val="1"/>
  </w:num>
  <w:num w:numId="49">
    <w:abstractNumId w:val="33"/>
  </w:num>
  <w:num w:numId="50">
    <w:abstractNumId w:val="50"/>
  </w:num>
  <w:num w:numId="51">
    <w:abstractNumId w:val="43"/>
  </w:num>
  <w:num w:numId="52">
    <w:abstractNumId w:val="18"/>
  </w:num>
  <w:num w:numId="53">
    <w:abstractNumId w:val="14"/>
  </w:num>
  <w:num w:numId="54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1B"/>
    <w:rsid w:val="00066F18"/>
    <w:rsid w:val="00080F61"/>
    <w:rsid w:val="002964D8"/>
    <w:rsid w:val="0040343C"/>
    <w:rsid w:val="004B31FB"/>
    <w:rsid w:val="005840CF"/>
    <w:rsid w:val="005C277B"/>
    <w:rsid w:val="0062049A"/>
    <w:rsid w:val="006E451B"/>
    <w:rsid w:val="008F4F57"/>
    <w:rsid w:val="00A82F4E"/>
    <w:rsid w:val="00AC0531"/>
    <w:rsid w:val="00C23973"/>
    <w:rsid w:val="00E719D1"/>
    <w:rsid w:val="00F11E1F"/>
    <w:rsid w:val="00F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0E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E451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E451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6E451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451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E451B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451B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451B"/>
    <w:rPr>
      <w:i/>
      <w:iCs/>
    </w:rPr>
  </w:style>
  <w:style w:type="character" w:styleId="Hyperlink">
    <w:name w:val="Hyperlink"/>
    <w:basedOn w:val="DefaultParagraphFont"/>
    <w:uiPriority w:val="99"/>
    <w:unhideWhenUsed/>
    <w:rsid w:val="006E45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451B"/>
  </w:style>
  <w:style w:type="character" w:styleId="Strong">
    <w:name w:val="Strong"/>
    <w:basedOn w:val="DefaultParagraphFont"/>
    <w:uiPriority w:val="22"/>
    <w:qFormat/>
    <w:rsid w:val="006E451B"/>
    <w:rPr>
      <w:b/>
      <w:bCs/>
    </w:rPr>
  </w:style>
  <w:style w:type="paragraph" w:customStyle="1" w:styleId="type-body">
    <w:name w:val="type-body"/>
    <w:basedOn w:val="Normal"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45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-standard-margin-top">
    <w:name w:val="l-standard-margin-top"/>
    <w:basedOn w:val="Normal"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ype-h4">
    <w:name w:val="type-h4"/>
    <w:basedOn w:val="Normal"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6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E451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E451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6E451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451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E451B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451B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451B"/>
    <w:rPr>
      <w:i/>
      <w:iCs/>
    </w:rPr>
  </w:style>
  <w:style w:type="character" w:styleId="Hyperlink">
    <w:name w:val="Hyperlink"/>
    <w:basedOn w:val="DefaultParagraphFont"/>
    <w:uiPriority w:val="99"/>
    <w:unhideWhenUsed/>
    <w:rsid w:val="006E45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451B"/>
  </w:style>
  <w:style w:type="character" w:styleId="Strong">
    <w:name w:val="Strong"/>
    <w:basedOn w:val="DefaultParagraphFont"/>
    <w:uiPriority w:val="22"/>
    <w:qFormat/>
    <w:rsid w:val="006E451B"/>
    <w:rPr>
      <w:b/>
      <w:bCs/>
    </w:rPr>
  </w:style>
  <w:style w:type="paragraph" w:customStyle="1" w:styleId="type-body">
    <w:name w:val="type-body"/>
    <w:basedOn w:val="Normal"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45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-standard-margin-top">
    <w:name w:val="l-standard-margin-top"/>
    <w:basedOn w:val="Normal"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type-h4">
    <w:name w:val="type-h4"/>
    <w:basedOn w:val="Normal"/>
    <w:rsid w:val="006E45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nsidecharity.org/2020/03/28/cares-act-for-nonprofits/" TargetMode="External"/><Relationship Id="rId7" Type="http://schemas.openxmlformats.org/officeDocument/2006/relationships/hyperlink" Target="https://www.ecfa.org/Content/How-the-COVID-19-Economic-Stimulus-Bill-Affects-Churches-and-Nonprofi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1124</Words>
  <Characters>6408</Characters>
  <Application>Microsoft Macintosh Word</Application>
  <DocSecurity>0</DocSecurity>
  <Lines>53</Lines>
  <Paragraphs>15</Paragraphs>
  <ScaleCrop>false</ScaleCrop>
  <Company>LifeWay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2020-03-27T01:17:00Z</cp:lastPrinted>
  <dcterms:created xsi:type="dcterms:W3CDTF">2020-03-27T10:46:00Z</dcterms:created>
  <dcterms:modified xsi:type="dcterms:W3CDTF">2020-03-30T12:12:00Z</dcterms:modified>
</cp:coreProperties>
</file>